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BodyText"/>
        <w:ind w:left="534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41.25pt;height:29.9pt;mso-position-horizontal-relative:char;mso-position-vertical-relative:line" coordorigin="0,0" coordsize="2825,598">
            <v:rect style="position:absolute;left:0;top:0;width:2350;height:293" filled="true" fillcolor="#000000" stroked="false">
              <v:fill type="solid"/>
            </v:rect>
            <v:rect style="position:absolute;left:0;top:292;width:2825;height:306" filled="true" fillcolor="#00000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BodyText"/>
        <w:spacing w:before="51"/>
        <w:ind w:left="121"/>
      </w:pPr>
      <w:r>
        <w:rPr/>
        <w:pict>
          <v:rect style="position:absolute;margin-left:147.800018pt;margin-top:3.407752pt;width:117.4669pt;height:15.2518pt;mso-position-horizontal-relative:page;mso-position-vertical-relative:paragraph;z-index:1048" filled="true" fillcolor="#000000" stroked="false">
            <v:fill type="solid"/>
            <w10:wrap type="none"/>
          </v:rect>
        </w:pict>
      </w:r>
      <w:r>
        <w:rPr/>
        <w:t>Reclamante:</w:t>
      </w:r>
    </w:p>
    <w:p>
      <w:pPr>
        <w:spacing w:before="0"/>
        <w:ind w:left="121" w:right="0" w:firstLine="0"/>
        <w:jc w:val="left"/>
        <w:rPr>
          <w:b/>
          <w:sz w:val="24"/>
        </w:rPr>
      </w:pPr>
      <w:r>
        <w:rPr>
          <w:sz w:val="24"/>
        </w:rPr>
        <w:t>Expediente. Nº </w:t>
      </w:r>
      <w:r>
        <w:rPr>
          <w:b/>
          <w:sz w:val="24"/>
        </w:rPr>
        <w:t>RSCTG 0113/2017</w:t>
      </w:r>
    </w:p>
    <w:p>
      <w:pPr>
        <w:pStyle w:val="BodyText"/>
        <w:rPr>
          <w:b/>
          <w:sz w:val="23"/>
        </w:rPr>
      </w:pPr>
    </w:p>
    <w:p>
      <w:pPr>
        <w:pStyle w:val="Heading1"/>
        <w:ind w:right="107" w:hanging="1"/>
      </w:pPr>
      <w:r>
        <w:rPr/>
        <w:t>ASUNTO: Resolución da Comisión da Transparencia de Galicia na reclamación presentada ao amparo do artigo 28 da Lei 1/2016, do 18 de xaneiro, de transparencia e bo goberno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tabs>
          <w:tab w:pos="6841" w:val="left" w:leader="none"/>
        </w:tabs>
        <w:spacing w:before="1"/>
        <w:ind w:left="121" w:right="108"/>
        <w:jc w:val="both"/>
      </w:pPr>
      <w:r>
        <w:rPr/>
        <w:pict>
          <v:rect style="position:absolute;margin-left:290.358002pt;margin-top:.907776pt;width:129.709300pt;height:15.2518pt;mso-position-horizontal-relative:page;mso-position-vertical-relative:paragraph;z-index:-4360" filled="true" fillcolor="#000000" stroked="false">
            <v:fill type="solid"/>
            <w10:wrap type="none"/>
          </v:rect>
        </w:pict>
      </w:r>
      <w:r>
        <w:rPr/>
        <w:t>En resposta á reclamación</w:t>
      </w:r>
      <w:r>
        <w:rPr>
          <w:spacing w:val="-25"/>
        </w:rPr>
        <w:t> </w:t>
      </w:r>
      <w:r>
        <w:rPr/>
        <w:t>presentada</w:t>
      </w:r>
      <w:r>
        <w:rPr>
          <w:spacing w:val="-9"/>
        </w:rPr>
        <w:t> </w:t>
      </w:r>
      <w:r>
        <w:rPr/>
        <w:t>por</w:t>
        <w:tab/>
        <w:t>, mediante escrito do</w:t>
      </w:r>
      <w:r>
        <w:rPr>
          <w:spacing w:val="-27"/>
        </w:rPr>
        <w:t> </w:t>
      </w:r>
      <w:r>
        <w:rPr/>
        <w:t>21 de novembro de 2017, a Comisión da Transparencia, considerando os antecedentes e fundamentos xurídicos que se especifican a continuación, adopta o seguinte</w:t>
      </w:r>
      <w:r>
        <w:rPr>
          <w:spacing w:val="-10"/>
        </w:rPr>
        <w:t> </w:t>
      </w:r>
      <w:r>
        <w:rPr/>
        <w:t>acordo:</w:t>
      </w:r>
    </w:p>
    <w:p>
      <w:pPr>
        <w:pStyle w:val="BodyText"/>
        <w:spacing w:before="12"/>
        <w:rPr>
          <w:sz w:val="22"/>
        </w:rPr>
      </w:pPr>
    </w:p>
    <w:p>
      <w:pPr>
        <w:pStyle w:val="Heading1"/>
        <w:jc w:val="left"/>
      </w:pPr>
      <w:r>
        <w:rPr/>
        <w:t>ANTECEDENTES</w:t>
      </w:r>
    </w:p>
    <w:p>
      <w:pPr>
        <w:pStyle w:val="BodyText"/>
        <w:spacing w:before="10"/>
        <w:rPr>
          <w:b/>
          <w:sz w:val="22"/>
        </w:rPr>
      </w:pPr>
    </w:p>
    <w:p>
      <w:pPr>
        <w:spacing w:before="1"/>
        <w:ind w:left="121" w:right="0" w:firstLine="0"/>
        <w:jc w:val="left"/>
        <w:rPr>
          <w:sz w:val="24"/>
        </w:rPr>
      </w:pPr>
      <w:r>
        <w:rPr/>
        <w:pict>
          <v:rect style="position:absolute;margin-left:454.037384pt;margin-top:.907798pt;width:83.3399pt;height:15.2518pt;mso-position-horizontal-relative:page;mso-position-vertical-relative:paragraph;z-index:1096" filled="true" fillcolor="#000000" stroked="false">
            <v:fill type="solid"/>
            <w10:wrap type="none"/>
          </v:rect>
        </w:pict>
      </w:r>
      <w:r>
        <w:rPr>
          <w:b/>
          <w:sz w:val="24"/>
        </w:rPr>
        <w:t>Primeiro</w:t>
      </w:r>
      <w:r>
        <w:rPr>
          <w:sz w:val="24"/>
        </w:rPr>
        <w:t>. O </w:t>
      </w:r>
      <w:r>
        <w:rPr>
          <w:i/>
          <w:sz w:val="24"/>
        </w:rPr>
        <w:t>Consejo de Transparencia y Buen Gobierno </w:t>
      </w:r>
      <w:r>
        <w:rPr>
          <w:sz w:val="24"/>
        </w:rPr>
        <w:t>remitíu un escrito de</w:t>
      </w:r>
    </w:p>
    <w:p>
      <w:pPr>
        <w:pStyle w:val="BodyText"/>
        <w:ind w:left="121" w:right="106" w:firstLine="621"/>
        <w:jc w:val="both"/>
      </w:pPr>
      <w:r>
        <w:rPr/>
        <w:pict>
          <v:rect style="position:absolute;margin-left:84.079987pt;margin-top:.857784pt;width:31.0682pt;height:15.2518pt;mso-position-horizontal-relative:page;mso-position-vertical-relative:paragraph;z-index:-4312" filled="true" fillcolor="#000000" stroked="false">
            <v:fill type="solid"/>
            <w10:wrap type="none"/>
          </v:rect>
        </w:pict>
      </w:r>
      <w:r>
        <w:rPr/>
        <w:t>,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entrada</w:t>
      </w:r>
      <w:r>
        <w:rPr>
          <w:spacing w:val="-13"/>
        </w:rPr>
        <w:t> </w:t>
      </w:r>
      <w:r>
        <w:rPr/>
        <w:t>no</w:t>
      </w:r>
      <w:r>
        <w:rPr>
          <w:spacing w:val="-11"/>
        </w:rPr>
        <w:t> </w:t>
      </w:r>
      <w:r>
        <w:rPr/>
        <w:t>rexistro</w:t>
      </w:r>
      <w:r>
        <w:rPr>
          <w:spacing w:val="-10"/>
        </w:rPr>
        <w:t> </w:t>
      </w:r>
      <w:r>
        <w:rPr/>
        <w:t>do</w:t>
      </w:r>
      <w:r>
        <w:rPr>
          <w:spacing w:val="-13"/>
        </w:rPr>
        <w:t> </w:t>
      </w:r>
      <w:r>
        <w:rPr/>
        <w:t>Valedor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Pobo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día</w:t>
      </w:r>
      <w:r>
        <w:rPr>
          <w:spacing w:val="-13"/>
        </w:rPr>
        <w:t> </w:t>
      </w:r>
      <w:r>
        <w:rPr/>
        <w:t>21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novembro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2017,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relación a unha reclamación ao amparo do disposto no artigo 28 da Lei 1/2016, do 18 de xaneiro, de transparencia e bo goberno, por entender desatendida unha solicitude de acceso á información por parte da Universidade de Santiago de Compostela en relación aos convenios asinados con entidades privadas e públicas, polas que os estudantes universitarios poden realizar prácticas curriculares e extracurriculares nestas Real Decreto 592/2014, de 11 de xullo. Sendo a información solicitada os convenios rexistrados desde 2014 ata a</w:t>
      </w:r>
      <w:r>
        <w:rPr>
          <w:spacing w:val="-22"/>
        </w:rPr>
        <w:t> </w:t>
      </w:r>
      <w:r>
        <w:rPr/>
        <w:t>actualidade.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21" w:right="107"/>
        <w:jc w:val="both"/>
      </w:pPr>
      <w:r>
        <w:rPr/>
        <w:t>O escrito viña acompañado da copia do escrito que o reclamante dirixira ao </w:t>
      </w:r>
      <w:r>
        <w:rPr>
          <w:i/>
        </w:rPr>
        <w:t>Consejo de </w:t>
      </w:r>
      <w:r>
        <w:rPr>
          <w:i/>
        </w:rPr>
        <w:t>Transparencia</w:t>
      </w:r>
      <w:r>
        <w:rPr>
          <w:i/>
          <w:spacing w:val="-10"/>
        </w:rPr>
        <w:t> </w:t>
      </w:r>
      <w:r>
        <w:rPr>
          <w:i/>
        </w:rPr>
        <w:t>y</w:t>
      </w:r>
      <w:r>
        <w:rPr>
          <w:i/>
          <w:spacing w:val="-8"/>
        </w:rPr>
        <w:t> </w:t>
      </w:r>
      <w:r>
        <w:rPr>
          <w:i/>
        </w:rPr>
        <w:t>Buen</w:t>
      </w:r>
      <w:r>
        <w:rPr>
          <w:i/>
          <w:spacing w:val="-10"/>
        </w:rPr>
        <w:t> </w:t>
      </w:r>
      <w:r>
        <w:rPr>
          <w:i/>
        </w:rPr>
        <w:t>Gobierno</w:t>
      </w:r>
      <w:r>
        <w:rPr/>
        <w:t>,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non</w:t>
      </w:r>
      <w:r>
        <w:rPr>
          <w:spacing w:val="-10"/>
        </w:rPr>
        <w:t> </w:t>
      </w:r>
      <w:r>
        <w:rPr/>
        <w:t>figuraba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solicitude</w:t>
      </w:r>
      <w:r>
        <w:rPr>
          <w:spacing w:val="-8"/>
        </w:rPr>
        <w:t> </w:t>
      </w:r>
      <w:r>
        <w:rPr/>
        <w:t>inicial.</w:t>
      </w:r>
      <w:r>
        <w:rPr>
          <w:spacing w:val="-12"/>
        </w:rPr>
        <w:t> </w:t>
      </w:r>
      <w:r>
        <w:rPr/>
        <w:t>Desta</w:t>
      </w:r>
      <w:r>
        <w:rPr>
          <w:spacing w:val="-9"/>
        </w:rPr>
        <w:t> </w:t>
      </w:r>
      <w:r>
        <w:rPr/>
        <w:t>documentación resulta que o único enderezo existente é o</w:t>
      </w:r>
      <w:r>
        <w:rPr>
          <w:spacing w:val="-9"/>
        </w:rPr>
        <w:t> </w:t>
      </w:r>
      <w:r>
        <w:rPr/>
        <w:t>electrónico.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07"/>
        <w:jc w:val="both"/>
      </w:pPr>
      <w:r>
        <w:rPr>
          <w:b/>
        </w:rPr>
        <w:t>Segundo</w:t>
      </w:r>
      <w:r>
        <w:rPr/>
        <w:t>. Con data 29 de novembro de 2017 déuselle traslado da documentación achegada polo interesado á USC para que, en cumprimento da normativa de transparencia, achegaran informe e copia completa e ordenada do expediente.</w:t>
      </w:r>
    </w:p>
    <w:p>
      <w:pPr>
        <w:pStyle w:val="BodyText"/>
        <w:rPr>
          <w:sz w:val="23"/>
        </w:rPr>
      </w:pPr>
    </w:p>
    <w:p>
      <w:pPr>
        <w:pStyle w:val="BodyText"/>
        <w:ind w:left="121" w:right="106"/>
        <w:jc w:val="both"/>
      </w:pPr>
      <w:r>
        <w:rPr/>
        <w:t>O requirimento de expediente foi recibido con data de 5 de decembro de 2017 pola administración.</w:t>
      </w:r>
    </w:p>
    <w:p>
      <w:pPr>
        <w:spacing w:after="0"/>
        <w:jc w:val="both"/>
        <w:sectPr>
          <w:headerReference w:type="default" r:id="rId5"/>
          <w:type w:val="continuous"/>
          <w:pgSz w:w="11900" w:h="16850"/>
          <w:pgMar w:header="794" w:top="1820" w:bottom="280" w:left="15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21" w:right="106"/>
        <w:jc w:val="both"/>
      </w:pPr>
      <w:r>
        <w:rPr>
          <w:b/>
        </w:rPr>
        <w:t>Terceiro</w:t>
      </w:r>
      <w:r>
        <w:rPr/>
        <w:t>. A resposta da USC do mesmo día 5 de decembro indica que comprobados os datos do</w:t>
      </w:r>
      <w:r>
        <w:rPr>
          <w:spacing w:val="-13"/>
        </w:rPr>
        <w:t> </w:t>
      </w:r>
      <w:r>
        <w:rPr/>
        <w:t>Rexistro</w:t>
      </w:r>
      <w:r>
        <w:rPr>
          <w:spacing w:val="-15"/>
        </w:rPr>
        <w:t> </w:t>
      </w:r>
      <w:r>
        <w:rPr/>
        <w:t>Xeral</w:t>
      </w:r>
      <w:r>
        <w:rPr>
          <w:spacing w:val="-16"/>
        </w:rPr>
        <w:t> </w:t>
      </w:r>
      <w:r>
        <w:rPr/>
        <w:t>e</w:t>
      </w:r>
      <w:r>
        <w:rPr>
          <w:spacing w:val="-15"/>
        </w:rPr>
        <w:t> </w:t>
      </w:r>
      <w:r>
        <w:rPr/>
        <w:t>telemático,</w:t>
      </w:r>
      <w:r>
        <w:rPr>
          <w:spacing w:val="-13"/>
        </w:rPr>
        <w:t> </w:t>
      </w:r>
      <w:r>
        <w:rPr/>
        <w:t>as</w:t>
      </w:r>
      <w:r>
        <w:rPr>
          <w:spacing w:val="-16"/>
        </w:rPr>
        <w:t> </w:t>
      </w:r>
      <w:r>
        <w:rPr/>
        <w:t>unidades</w:t>
      </w:r>
      <w:r>
        <w:rPr>
          <w:spacing w:val="-16"/>
        </w:rPr>
        <w:t> </w:t>
      </w:r>
      <w:r>
        <w:rPr/>
        <w:t>que</w:t>
      </w:r>
      <w:r>
        <w:rPr>
          <w:spacing w:val="-13"/>
        </w:rPr>
        <w:t> </w:t>
      </w:r>
      <w:r>
        <w:rPr/>
        <w:t>xestionan</w:t>
      </w:r>
      <w:r>
        <w:rPr>
          <w:spacing w:val="-12"/>
        </w:rPr>
        <w:t> </w:t>
      </w:r>
      <w:r>
        <w:rPr/>
        <w:t>e</w:t>
      </w:r>
      <w:r>
        <w:rPr>
          <w:spacing w:val="-15"/>
        </w:rPr>
        <w:t> </w:t>
      </w:r>
      <w:r>
        <w:rPr/>
        <w:t>tramitan</w:t>
      </w:r>
      <w:r>
        <w:rPr>
          <w:spacing w:val="-15"/>
        </w:rPr>
        <w:t> </w:t>
      </w:r>
      <w:r>
        <w:rPr/>
        <w:t>os</w:t>
      </w:r>
      <w:r>
        <w:rPr>
          <w:spacing w:val="-14"/>
        </w:rPr>
        <w:t> </w:t>
      </w:r>
      <w:r>
        <w:rPr/>
        <w:t>convenios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prácticas (Unidade de Convenios e Servizo de Xestión da Oferta e Planificación Académica) “en ningunha desas unidades figura a citada petición de datos sobre convenios de prácticas curriculares e</w:t>
      </w:r>
      <w:r>
        <w:rPr>
          <w:spacing w:val="-2"/>
        </w:rPr>
        <w:t> </w:t>
      </w:r>
      <w:r>
        <w:rPr/>
        <w:t>extracurriculares”.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21" w:right="108"/>
        <w:jc w:val="both"/>
      </w:pPr>
      <w:r>
        <w:rPr>
          <w:b/>
        </w:rPr>
        <w:t>Cuarto. </w:t>
      </w:r>
      <w:r>
        <w:rPr/>
        <w:t>O 30 de decembro de 2017 , o rexistro de saída do Valedor remite ao correo electrónico do reclamante escrito no que que se lle solicitaba que achegara acreditación da vontade</w:t>
      </w:r>
      <w:r>
        <w:rPr>
          <w:spacing w:val="-15"/>
        </w:rPr>
        <w:t> </w:t>
      </w:r>
      <w:r>
        <w:rPr/>
        <w:t>do</w:t>
      </w:r>
      <w:r>
        <w:rPr>
          <w:spacing w:val="-13"/>
        </w:rPr>
        <w:t> </w:t>
      </w:r>
      <w:r>
        <w:rPr/>
        <w:t>interesado</w:t>
      </w:r>
      <w:r>
        <w:rPr>
          <w:spacing w:val="-15"/>
        </w:rPr>
        <w:t> </w:t>
      </w:r>
      <w:r>
        <w:rPr/>
        <w:t>para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tramitación</w:t>
      </w:r>
      <w:r>
        <w:rPr>
          <w:spacing w:val="-15"/>
        </w:rPr>
        <w:t> </w:t>
      </w:r>
      <w:r>
        <w:rPr/>
        <w:t>do</w:t>
      </w:r>
      <w:r>
        <w:rPr>
          <w:spacing w:val="-13"/>
        </w:rPr>
        <w:t> </w:t>
      </w:r>
      <w:r>
        <w:rPr/>
        <w:t>expediente,</w:t>
      </w:r>
      <w:r>
        <w:rPr>
          <w:spacing w:val="-16"/>
        </w:rPr>
        <w:t> </w:t>
      </w:r>
      <w:r>
        <w:rPr/>
        <w:t>dándoselle</w:t>
      </w:r>
      <w:r>
        <w:rPr>
          <w:spacing w:val="-15"/>
        </w:rPr>
        <w:t> </w:t>
      </w:r>
      <w:r>
        <w:rPr/>
        <w:t>un</w:t>
      </w:r>
      <w:r>
        <w:rPr>
          <w:spacing w:val="-12"/>
        </w:rPr>
        <w:t> </w:t>
      </w:r>
      <w:r>
        <w:rPr/>
        <w:t>prazo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dez</w:t>
      </w:r>
      <w:r>
        <w:rPr>
          <w:spacing w:val="-15"/>
        </w:rPr>
        <w:t> </w:t>
      </w:r>
      <w:r>
        <w:rPr/>
        <w:t>días</w:t>
      </w:r>
      <w:r>
        <w:rPr>
          <w:spacing w:val="-16"/>
        </w:rPr>
        <w:t> </w:t>
      </w:r>
      <w:r>
        <w:rPr/>
        <w:t>para actuar</w:t>
      </w:r>
      <w:r>
        <w:rPr>
          <w:spacing w:val="0"/>
        </w:rPr>
        <w:t> </w:t>
      </w:r>
      <w:r>
        <w:rPr/>
        <w:t>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/>
        <w:t>FUNDAMENTOS XURÍDICOS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Heading2"/>
      </w:pPr>
      <w:r>
        <w:rPr/>
        <w:t>Primeiro. Competencia e normativa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121" w:right="105"/>
        <w:jc w:val="both"/>
      </w:pPr>
      <w:r>
        <w:rPr/>
        <w:t>O</w:t>
      </w:r>
      <w:r>
        <w:rPr>
          <w:spacing w:val="-9"/>
        </w:rPr>
        <w:t> </w:t>
      </w:r>
      <w:r>
        <w:rPr/>
        <w:t>artigo</w:t>
      </w:r>
      <w:r>
        <w:rPr>
          <w:spacing w:val="-11"/>
        </w:rPr>
        <w:t> </w:t>
      </w:r>
      <w:r>
        <w:rPr/>
        <w:t>24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Lei</w:t>
      </w:r>
      <w:r>
        <w:rPr>
          <w:spacing w:val="-11"/>
        </w:rPr>
        <w:t> </w:t>
      </w:r>
      <w:r>
        <w:rPr/>
        <w:t>19/2013,</w:t>
      </w:r>
      <w:r>
        <w:rPr>
          <w:spacing w:val="-9"/>
        </w:rPr>
        <w:t> </w:t>
      </w:r>
      <w:r>
        <w:rPr/>
        <w:t>do</w:t>
      </w:r>
      <w:r>
        <w:rPr>
          <w:spacing w:val="-11"/>
        </w:rPr>
        <w:t> </w:t>
      </w:r>
      <w:r>
        <w:rPr/>
        <w:t>9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decembro,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transparencia,</w:t>
      </w:r>
      <w:r>
        <w:rPr>
          <w:spacing w:val="-11"/>
        </w:rPr>
        <w:t> </w:t>
      </w:r>
      <w:r>
        <w:rPr/>
        <w:t>acceso</w:t>
      </w:r>
      <w:r>
        <w:rPr>
          <w:spacing w:val="-8"/>
        </w:rPr>
        <w:t> </w:t>
      </w:r>
      <w:r>
        <w:rPr/>
        <w:t>á</w:t>
      </w:r>
      <w:r>
        <w:rPr>
          <w:spacing w:val="-9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pública e bo goberno, de carácter básico na súa práctica totalidade, establece que contra toda resolución expresa ou presunta en materia de acceso poderá interpoñerse unha reclamación ante o </w:t>
      </w:r>
      <w:r>
        <w:rPr>
          <w:i/>
        </w:rPr>
        <w:t>Consejo de Transparencia y Buen Gobierno</w:t>
      </w:r>
      <w:r>
        <w:rPr/>
        <w:t>, con carácter potestativo e previa a súa impugnación en vía contencioso-administrativa. Esa mesma lei, na súa disposición adicional cuarta, establece que a resolución da reclamación prevista no artigo 24 corresponderá, nos supostos de resolucións ditadas polas Administracións das Comunidades autónomas e o seu sector público, e polas Entidades Locais comprendidas no seu ámbito territorial, ao órgano independente que determinen as Comunidades</w:t>
      </w:r>
      <w:r>
        <w:rPr>
          <w:spacing w:val="-11"/>
        </w:rPr>
        <w:t> </w:t>
      </w:r>
      <w:r>
        <w:rPr/>
        <w:t>Autónomas.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11"/>
        <w:jc w:val="both"/>
      </w:pPr>
      <w:r>
        <w:rPr/>
        <w:t>A lexislación aplicable a este procedemento ven configurada pola citada Lei 19/2013 e pola Lei 1/2016, xunto coa lexislación básica en materia de procedemento administrativo.</w:t>
      </w:r>
    </w:p>
    <w:p>
      <w:pPr>
        <w:pStyle w:val="BodyText"/>
        <w:rPr>
          <w:sz w:val="23"/>
        </w:rPr>
      </w:pPr>
    </w:p>
    <w:p>
      <w:pPr>
        <w:pStyle w:val="BodyText"/>
        <w:ind w:left="121" w:right="106"/>
        <w:jc w:val="both"/>
      </w:pPr>
      <w:r>
        <w:rPr/>
        <w:t>O artigo 28 da Lei 1/2016, do 18 de xaneiro, establece que contra toda resolución expresa ou presunta en materia de acceso á información pública poderá interpoñerse unha reclamación perante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Valedor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Pobo;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artigo</w:t>
      </w:r>
      <w:r>
        <w:rPr>
          <w:spacing w:val="-5"/>
        </w:rPr>
        <w:t> </w:t>
      </w:r>
      <w:r>
        <w:rPr/>
        <w:t>33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mesma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indica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corresponde</w:t>
      </w:r>
      <w:r>
        <w:rPr>
          <w:spacing w:val="-3"/>
        </w:rPr>
        <w:t> </w:t>
      </w:r>
      <w:r>
        <w:rPr/>
        <w:t>á</w:t>
      </w:r>
      <w:r>
        <w:rPr>
          <w:spacing w:val="-3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da Transparencia, órgano colexiado, a resolución das reclamacións fronte ás resolucións de acceso á información pública que establece o seu artigo</w:t>
      </w:r>
      <w:r>
        <w:rPr>
          <w:spacing w:val="-3"/>
        </w:rPr>
        <w:t> </w:t>
      </w:r>
      <w:r>
        <w:rPr/>
        <w:t>28.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r>
        <w:rPr/>
        <w:t>Segundo. Procedemento aplicable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121" w:right="106"/>
        <w:jc w:val="both"/>
      </w:pPr>
      <w:r>
        <w:rPr/>
        <w:t>O artigo 28.3 da Lei 1/2016, do 18 de xaneiro preceptúa que o procedemento se axustará ao previsto</w:t>
      </w:r>
      <w:r>
        <w:rPr>
          <w:spacing w:val="-14"/>
        </w:rPr>
        <w:t> </w:t>
      </w:r>
      <w:r>
        <w:rPr/>
        <w:t>nos</w:t>
      </w:r>
      <w:r>
        <w:rPr>
          <w:spacing w:val="-15"/>
        </w:rPr>
        <w:t> </w:t>
      </w:r>
      <w:r>
        <w:rPr/>
        <w:t>números</w:t>
      </w:r>
      <w:r>
        <w:rPr>
          <w:spacing w:val="-15"/>
        </w:rPr>
        <w:t> </w:t>
      </w:r>
      <w:r>
        <w:rPr/>
        <w:t>2,</w:t>
      </w:r>
      <w:r>
        <w:rPr>
          <w:spacing w:val="-15"/>
        </w:rPr>
        <w:t> </w:t>
      </w:r>
      <w:r>
        <w:rPr/>
        <w:t>3,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4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artigo</w:t>
      </w:r>
      <w:r>
        <w:rPr>
          <w:spacing w:val="-14"/>
        </w:rPr>
        <w:t> </w:t>
      </w:r>
      <w:r>
        <w:rPr/>
        <w:t>24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17"/>
        </w:rPr>
        <w:t> </w:t>
      </w:r>
      <w:r>
        <w:rPr/>
        <w:t>19/2013,</w:t>
      </w:r>
      <w:r>
        <w:rPr>
          <w:spacing w:val="-15"/>
        </w:rPr>
        <w:t> </w:t>
      </w:r>
      <w:r>
        <w:rPr/>
        <w:t>do</w:t>
      </w:r>
      <w:r>
        <w:rPr>
          <w:spacing w:val="-14"/>
        </w:rPr>
        <w:t> </w:t>
      </w:r>
      <w:r>
        <w:rPr/>
        <w:t>9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decembro.</w:t>
      </w:r>
      <w:r>
        <w:rPr>
          <w:spacing w:val="-14"/>
        </w:rPr>
        <w:t> </w:t>
      </w:r>
      <w:r>
        <w:rPr/>
        <w:t>Esta</w:t>
      </w:r>
      <w:r>
        <w:rPr>
          <w:spacing w:val="-15"/>
        </w:rPr>
        <w:t> </w:t>
      </w:r>
      <w:r>
        <w:rPr/>
        <w:t>lei</w:t>
      </w:r>
      <w:r>
        <w:rPr>
          <w:spacing w:val="-15"/>
        </w:rPr>
        <w:t> </w:t>
      </w:r>
      <w:r>
        <w:rPr/>
        <w:t>19/2013, do</w:t>
      </w:r>
      <w:r>
        <w:rPr>
          <w:spacing w:val="-15"/>
        </w:rPr>
        <w:t> </w:t>
      </w:r>
      <w:r>
        <w:rPr/>
        <w:t>9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decembro</w:t>
      </w:r>
      <w:r>
        <w:rPr>
          <w:spacing w:val="-13"/>
        </w:rPr>
        <w:t> </w:t>
      </w:r>
      <w:r>
        <w:rPr/>
        <w:t>sinala</w:t>
      </w:r>
      <w:r>
        <w:rPr>
          <w:spacing w:val="-18"/>
        </w:rPr>
        <w:t> </w:t>
      </w:r>
      <w:r>
        <w:rPr/>
        <w:t>que</w:t>
      </w:r>
      <w:r>
        <w:rPr>
          <w:spacing w:val="-15"/>
        </w:rPr>
        <w:t> </w:t>
      </w:r>
      <w:r>
        <w:rPr/>
        <w:t>estamos</w:t>
      </w:r>
      <w:r>
        <w:rPr>
          <w:spacing w:val="-16"/>
        </w:rPr>
        <w:t> </w:t>
      </w:r>
      <w:r>
        <w:rPr/>
        <w:t>ante</w:t>
      </w:r>
      <w:r>
        <w:rPr>
          <w:spacing w:val="-15"/>
        </w:rPr>
        <w:t> </w:t>
      </w:r>
      <w:r>
        <w:rPr/>
        <w:t>unha</w:t>
      </w:r>
      <w:r>
        <w:rPr>
          <w:spacing w:val="-16"/>
        </w:rPr>
        <w:t> </w:t>
      </w:r>
      <w:r>
        <w:rPr/>
        <w:t>reclamación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carácter</w:t>
      </w:r>
      <w:r>
        <w:rPr>
          <w:spacing w:val="-18"/>
        </w:rPr>
        <w:t> </w:t>
      </w:r>
      <w:r>
        <w:rPr/>
        <w:t>potestativo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previa á impugnación en vía contencioso-administrativa e que se axustará na súa tramitación ao disposto na lexislación de procedemento administrativo común en materia de</w:t>
      </w:r>
      <w:r>
        <w:rPr>
          <w:spacing w:val="-6"/>
        </w:rPr>
        <w:t> </w:t>
      </w:r>
      <w:r>
        <w:rPr/>
        <w:t>recursos.</w:t>
      </w:r>
    </w:p>
    <w:p>
      <w:pPr>
        <w:spacing w:after="0"/>
        <w:jc w:val="both"/>
        <w:sectPr>
          <w:footerReference w:type="default" r:id="rId6"/>
          <w:pgSz w:w="11900" w:h="16850"/>
          <w:pgMar w:footer="1053" w:header="794" w:top="1820" w:bottom="1240" w:left="1580" w:right="10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2"/>
        <w:spacing w:before="52"/>
      </w:pPr>
      <w:r>
        <w:rPr/>
        <w:t>Terceiro. Dereito de acceso á información pública</w:t>
      </w: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121" w:right="108" w:firstLine="0"/>
        <w:jc w:val="both"/>
        <w:rPr>
          <w:i/>
          <w:sz w:val="24"/>
        </w:rPr>
      </w:pPr>
      <w:r>
        <w:rPr>
          <w:sz w:val="24"/>
        </w:rPr>
        <w:t>A Lei 1/2016, do 18 de xaneiro recoñece no seu artigo 24 o dereito de todas as persoas a acceder á información pública, entendida como “</w:t>
      </w:r>
      <w:r>
        <w:rPr>
          <w:i/>
          <w:sz w:val="24"/>
        </w:rPr>
        <w:t>os contidos ou documentos, calquera que </w:t>
      </w:r>
      <w:r>
        <w:rPr>
          <w:i/>
          <w:sz w:val="24"/>
        </w:rPr>
        <w:t>sexa o seu formato ou soporte, que consten en poder dalgún dos suxeitos incluídos no ámbito de aplicación desta lei e que fosen elaborados ou adquiridos en exercicio das súas funcións”.</w:t>
      </w:r>
    </w:p>
    <w:p>
      <w:pPr>
        <w:pStyle w:val="BodyText"/>
        <w:rPr>
          <w:i/>
          <w:sz w:val="23"/>
        </w:rPr>
      </w:pPr>
    </w:p>
    <w:p>
      <w:pPr>
        <w:pStyle w:val="BodyText"/>
        <w:ind w:left="121" w:right="108"/>
        <w:jc w:val="both"/>
      </w:pPr>
      <w:r>
        <w:rPr/>
        <w:t>O artigo 12 da Lei 19/2013, do 9 de decembro configura o dereito de acceso á información pública de forma ampla, sendo titulares do mesmo todas as persoas. A Lei 1/2016, do 18 de xaneiro sinala que o solicitante non está obrigada a motivar a súa solicitude de acceso á información (artigo 26.4).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Cuarto. Análise do expediente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21" w:right="108"/>
        <w:jc w:val="both"/>
      </w:pPr>
      <w:r>
        <w:rPr/>
        <w:t>O artigo 68 da Lei 39/2015, do 1 de outubro establece que se a solicitude de iniciación non reúne os requisitos que sinala a lexislación específica aplicable, requirirase o interesado para que, nun prazo de dez días, emende a falta ou xunte os documentos preceptivos, con indicación de que, se así non o fixer, se terá por desistido da súa petición, logo da resolución que deberá ser ditada.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21" w:right="107"/>
        <w:jc w:val="both"/>
      </w:pPr>
      <w:r>
        <w:rPr/>
        <w:t>Neste expediente o 30 de novembro de 2017, se solicitou ao reclamante que acreditara a autenticidade</w:t>
      </w:r>
      <w:r>
        <w:rPr>
          <w:spacing w:val="-13"/>
        </w:rPr>
        <w:t> </w:t>
      </w:r>
      <w:r>
        <w:rPr/>
        <w:t>da</w:t>
      </w:r>
      <w:r>
        <w:rPr>
          <w:spacing w:val="-11"/>
        </w:rPr>
        <w:t> </w:t>
      </w:r>
      <w:r>
        <w:rPr/>
        <w:t>súa</w:t>
      </w:r>
      <w:r>
        <w:rPr>
          <w:spacing w:val="-11"/>
        </w:rPr>
        <w:t> </w:t>
      </w:r>
      <w:r>
        <w:rPr/>
        <w:t>vontade</w:t>
      </w:r>
      <w:r>
        <w:rPr>
          <w:spacing w:val="-13"/>
        </w:rPr>
        <w:t> </w:t>
      </w:r>
      <w:r>
        <w:rPr/>
        <w:t>para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tramitación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reclamación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calquera</w:t>
      </w:r>
      <w:r>
        <w:rPr>
          <w:spacing w:val="-8"/>
        </w:rPr>
        <w:t> </w:t>
      </w:r>
      <w:r>
        <w:rPr/>
        <w:t>medio</w:t>
      </w:r>
      <w:r>
        <w:rPr>
          <w:spacing w:val="-11"/>
        </w:rPr>
        <w:t> </w:t>
      </w:r>
      <w:r>
        <w:rPr/>
        <w:t>admitido en dereito, para o que se lle daba un prazo de dez</w:t>
      </w:r>
      <w:r>
        <w:rPr>
          <w:spacing w:val="-13"/>
        </w:rPr>
        <w:t> </w:t>
      </w:r>
      <w:r>
        <w:rPr/>
        <w:t>días.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07" w:firstLine="55"/>
        <w:jc w:val="both"/>
      </w:pPr>
      <w:r>
        <w:rPr/>
        <w:t>A proposta de emenda e mellora da solicitude se dirixiu ao único enderezo (un correo electrónico) que o reclamante sinalara a efecto de notificacións na reclamación presentada ante o Consejo de Transparencia y Buen Gobierno.</w:t>
      </w:r>
    </w:p>
    <w:p>
      <w:pPr>
        <w:pStyle w:val="BodyText"/>
        <w:rPr>
          <w:sz w:val="23"/>
        </w:rPr>
      </w:pPr>
    </w:p>
    <w:p>
      <w:pPr>
        <w:pStyle w:val="BodyText"/>
        <w:ind w:left="121" w:right="109"/>
        <w:jc w:val="both"/>
      </w:pPr>
      <w:r>
        <w:rPr/>
        <w:t>Xa</w:t>
      </w:r>
      <w:r>
        <w:rPr>
          <w:spacing w:val="-6"/>
        </w:rPr>
        <w:t> </w:t>
      </w:r>
      <w:r>
        <w:rPr/>
        <w:t>qeu</w:t>
      </w:r>
      <w:r>
        <w:rPr>
          <w:spacing w:val="-5"/>
        </w:rPr>
        <w:t> </w:t>
      </w:r>
      <w:r>
        <w:rPr/>
        <w:t>logo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reclamante</w:t>
      </w:r>
      <w:r>
        <w:rPr>
          <w:spacing w:val="-6"/>
        </w:rPr>
        <w:t> </w:t>
      </w:r>
      <w:r>
        <w:rPr/>
        <w:t>non</w:t>
      </w:r>
      <w:r>
        <w:rPr>
          <w:spacing w:val="-8"/>
        </w:rPr>
        <w:t> </w:t>
      </w:r>
      <w:r>
        <w:rPr/>
        <w:t>acreditou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vontade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tramitar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reclamación</w:t>
      </w:r>
      <w:r>
        <w:rPr>
          <w:spacing w:val="-5"/>
        </w:rPr>
        <w:t> </w:t>
      </w:r>
      <w:r>
        <w:rPr/>
        <w:t>ante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Comisión da Transparencia.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21"/>
        <w:jc w:val="both"/>
      </w:pPr>
      <w:r>
        <w:rPr/>
        <w:t>En conclusión, a Comisión da Transparencia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</w:pPr>
      <w:r>
        <w:rPr/>
        <w:t>ACORDA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ind w:left="121"/>
        <w:jc w:val="both"/>
      </w:pPr>
      <w:r>
        <w:rPr/>
        <w:t>En atención aos anteriores antecedentes, fundamentos xurídicos, procede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21"/>
        <w:jc w:val="both"/>
      </w:pPr>
      <w:r>
        <w:rPr>
          <w:b/>
        </w:rPr>
        <w:t>Único: </w:t>
      </w:r>
      <w:r>
        <w:rPr/>
        <w:t>Arquivar o expediente por desistencia e declarar concluso o procedemento.</w:t>
      </w:r>
    </w:p>
    <w:p>
      <w:pPr>
        <w:pStyle w:val="BodyText"/>
        <w:rPr>
          <w:sz w:val="23"/>
        </w:rPr>
      </w:pPr>
    </w:p>
    <w:p>
      <w:pPr>
        <w:pStyle w:val="BodyText"/>
        <w:ind w:left="121" w:right="108"/>
        <w:jc w:val="both"/>
      </w:pPr>
      <w:r>
        <w:rPr/>
        <w:t>Contra esta resolución, que pon fin á vía administrativa, unicamente cabe, en caso de desconformidade, interpoñer recurso contencioso-administrativo, no prazo de dous meses,</w:t>
      </w:r>
    </w:p>
    <w:p>
      <w:pPr>
        <w:spacing w:after="0"/>
        <w:jc w:val="both"/>
        <w:sectPr>
          <w:pgSz w:w="11900" w:h="16850"/>
          <w:pgMar w:header="794" w:footer="1053" w:top="1820" w:bottom="1240" w:left="15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21" w:right="106"/>
        <w:jc w:val="both"/>
      </w:pPr>
      <w:r>
        <w:rPr/>
        <w:t>contados desde o día seguinte á notificación desta resolución, de conformidade co previsto no artigo 8.3 a Lei 29/1998, do 13 de xullo, reguladora da xurisdición contencioso- administrativa.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468" w:lineRule="auto"/>
        <w:ind w:left="121" w:right="4461"/>
      </w:pPr>
      <w:r>
        <w:rPr/>
        <w:t>Santiago de Compostela, 28 de febreiro de 2018 A presidenta da Comisión da Transparencia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pStyle w:val="BodyText"/>
        <w:ind w:left="121"/>
        <w:jc w:val="both"/>
      </w:pPr>
      <w:r>
        <w:rPr/>
        <w:t>Milagros Otero Parga</w:t>
      </w:r>
    </w:p>
    <w:sectPr>
      <w:pgSz w:w="11900" w:h="16850"/>
      <w:pgMar w:header="794" w:footer="1053" w:top="1820" w:bottom="1240" w:left="15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320007pt;margin-top:778.386597pt;width:10pt;height:15.3pt;mso-position-horizontal-relative:page;mso-position-vertical-relative:page;z-index:-43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99CB3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047">
          <wp:simplePos x="0" y="0"/>
          <wp:positionH relativeFrom="page">
            <wp:posOffset>1080135</wp:posOffset>
          </wp:positionH>
          <wp:positionV relativeFrom="page">
            <wp:posOffset>504443</wp:posOffset>
          </wp:positionV>
          <wp:extent cx="5372518" cy="65760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2518" cy="657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1"/>
      <w:jc w:val="both"/>
      <w:outlineLvl w:val="1"/>
    </w:pPr>
    <w:rPr>
      <w:rFonts w:ascii="Calibri" w:hAnsi="Calibri" w:eastAsia="Calibri" w:cs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21"/>
      <w:jc w:val="both"/>
      <w:outlineLvl w:val="2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2018-04-17T11:10:10Z</dcterms:created>
  <dcterms:modified xsi:type="dcterms:W3CDTF">2018-04-17T11:10:10Z</dcterms:modified>
</cp:coreProperties>
</file>